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F4E79"/>
          <w:sz w:val="56"/>
          <w:szCs w:val="56"/>
        </w:rPr>
        <w:t xml:space="preserve">CostusWorx</w:t>
      </w:r>
    </w:p>
    <w:p>
      <w:pPr>
        <w:spacing w:after="80"/>
        <w:jc w:val="center"/>
      </w:pPr>
      <w:r>
        <w:rPr>
          <w:rFonts w:ascii="Arial" w:cs="Arial" w:eastAsia="Arial" w:hAnsi="Arial"/>
          <w:color w:val="2E75B6"/>
          <w:sz w:val="32"/>
          <w:szCs w:val="32"/>
        </w:rPr>
        <w:t xml:space="preserve">Retirement Decision Engine</w:t>
      </w:r>
    </w:p>
    <w:p>
      <w:pPr>
        <w:pBdr>
          <w:bottom w:val="single" w:color="2E75B6" w:sz="12" w:space="4"/>
        </w:pBdr>
        <w:spacing w:after="480"/>
        <w:jc w:val="center"/>
      </w:pPr>
      <w:r>
        <w:rPr>
          <w:rFonts w:ascii="Arial" w:cs="Arial" w:eastAsia="Arial" w:hAnsi="Arial"/>
          <w:b/>
          <w:bCs/>
          <w:sz w:val="36"/>
          <w:szCs w:val="36"/>
        </w:rPr>
        <w:t xml:space="preserve">How the Simulation Works</w:t>
      </w:r>
    </w:p>
    <w:p>
      <w:pPr>
        <w:spacing w:after="80"/>
        <w:jc w:val="center"/>
      </w:pPr>
      <w:r>
        <w:rPr>
          <w:rFonts w:ascii="Arial" w:cs="Arial" w:eastAsia="Arial" w:hAnsi="Arial"/>
          <w:i/>
          <w:iCs/>
          <w:color w:val="555555"/>
          <w:sz w:val="24"/>
          <w:szCs w:val="24"/>
        </w:rPr>
        <w:t xml:space="preserve">A plain-language guide for advisers and their clients</w:t>
      </w:r>
    </w:p>
    <w:p>
      <w:pPr>
        <w:spacing w:after="480"/>
        <w:jc w:val="center"/>
      </w:pPr>
      <w:r>
        <w:rPr>
          <w:rFonts w:ascii="Arial" w:cs="Arial" w:eastAsia="Arial" w:hAnsi="Arial"/>
          <w:color w:val="777777"/>
          <w:sz w:val="22"/>
          <w:szCs w:val="22"/>
        </w:rPr>
        <w:t xml:space="preserve">Version 1.0  ·  May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4"/>
              <w:left w:val="single" w:color="2E75B6" w:sz="12"/>
              <w:bottom w:val="single" w:color="2E75B6" w:sz="4"/>
              <w:right w:val="single" w:color="CCCCCC" w:sz="1"/>
            </w:tcBorders>
            <w:shd w:fill="D6E4F0" w:val="clear"/>
            <w:tcMar>
              <w:top w:type="dxa" w:w="120"/>
              <w:left w:type="dxa" w:w="180"/>
              <w:bottom w:type="dxa" w:w="120"/>
              <w:right w:type="dxa" w:w="120"/>
            </w:tcMar>
          </w:tcPr>
          <w:p>
            <w:r>
              <w:rPr>
                <w:rFonts w:ascii="Arial" w:cs="Arial" w:eastAsia="Arial" w:hAnsi="Arial"/>
                <w:b/>
                <w:bCs/>
                <w:sz w:val="20"/>
                <w:szCs w:val="20"/>
              </w:rPr>
              <w:t xml:space="preserve">IMPORTANT: </w:t>
            </w:r>
            <w:r>
              <w:rPr>
                <w:rFonts w:ascii="Arial" w:cs="Arial" w:eastAsia="Arial" w:hAnsi="Arial"/>
                <w:sz w:val="20"/>
                <w:szCs w:val="20"/>
              </w:rPr>
              <w:t xml:space="preserve">This document is for educational purposes only. It explains how calculations are made. It does not constitute financial advice. Your adviser is FCA-authorised and remains responsible for all recommendations made under FCA COBS 9A suitability obligations.</w:t>
            </w:r>
          </w:p>
        </w:tc>
      </w:tr>
    </w:tbl>
    <w:p>
      <w:r>
        <w:t xml:space="preserve"/>
      </w:r>
    </w:p>
    <w:p>
      <w:r>
        <w:br w:type="page"/>
      </w:r>
    </w:p>
    <w:p>
      <w:pPr>
        <w:pStyle w:val="Heading1"/>
      </w:pPr>
      <w:r>
        <w:t xml:space="preserve">1. The Big Picture</w:t>
      </w:r>
    </w:p>
    <w:p>
      <w:r>
        <w:rPr>
          <w:rFonts w:ascii="Arial" w:cs="Arial" w:eastAsia="Arial" w:hAnsi="Arial"/>
          <w:sz w:val="22"/>
          <w:szCs w:val="22"/>
        </w:rPr>
        <w:t xml:space="preserve">When you retire, your money needs to last. But we cannot know exactly what investment returns will look like next year, the year after, or in 20 years. Markets go up. Markets go down. Sometimes they fall badly at exactly the wrong moment.</w:t>
      </w:r>
    </w:p>
    <w:p>
      <w:r>
        <w:t xml:space="preserve"/>
      </w:r>
    </w:p>
    <w:p>
      <w:r>
        <w:rPr>
          <w:rFonts w:ascii="Arial" w:cs="Arial" w:eastAsia="Arial" w:hAnsi="Arial"/>
          <w:sz w:val="22"/>
          <w:szCs w:val="22"/>
        </w:rPr>
        <w:t xml:space="preserve">CostusWorx uses a technique called a Monte Carlo simulation to test your retirement plan against hundreds of possible future market scenarios - not just one optimistic projection. Instead of saying "your money will probably last X years", it asks: "In how many of these 500 futures does your plan succeed?"</w:t>
      </w:r>
    </w:p>
    <w:p>
      <w:r>
        <w:t xml:space="preserve"/>
      </w:r>
    </w:p>
    <w:p>
      <w:r>
        <w:rPr>
          <w:rFonts w:ascii="Arial" w:cs="Arial" w:eastAsia="Arial" w:hAnsi="Arial"/>
          <w:sz w:val="22"/>
          <w:szCs w:val="22"/>
        </w:rPr>
        <w:t xml:space="preserve">Think of it like a weather forecast for your retirement. A 90% success rate does not mean failure is impossible - it means your plan holds up in 9 out of 10 of the futures the model tested.</w:t>
      </w:r>
    </w:p>
    <w:p>
      <w:r>
        <w:t xml:space="preserve"/>
      </w:r>
    </w:p>
    <w:p>
      <w:pPr>
        <w:pStyle w:val="Heading1"/>
      </w:pPr>
      <w:r>
        <w:t xml:space="preserve">2. What Goes Into the Simulation</w:t>
      </w:r>
    </w:p>
    <w:p>
      <w:r>
        <w:rPr>
          <w:rFonts w:ascii="Arial" w:cs="Arial" w:eastAsia="Arial" w:hAnsi="Arial"/>
          <w:sz w:val="22"/>
          <w:szCs w:val="22"/>
        </w:rPr>
        <w:t xml:space="preserve">The simulation uses information about you and your investment portfolio. Your adviser captures these details before running the projection.</w:t>
      </w:r>
    </w:p>
    <w:p>
      <w:r>
        <w:t xml:space="preserve"/>
      </w:r>
    </w:p>
    <w:p>
      <w:pPr>
        <w:pStyle w:val="Heading2"/>
      </w:pPr>
      <w:r>
        <w:t xml:space="preserve">2.1 About You</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Input</w:t>
            </w:r>
          </w:p>
        </w:tc>
        <w:tc>
          <w:tcPr>
            <w:tcW w:type="dxa" w:w="60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Current age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How old you are today. The simulation runs from now until your life expectancy.</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Life expectancy</w:t>
            </w:r>
          </w:p>
        </w:tc>
        <w:tc>
          <w:tcPr>
            <w:tcW w:type="dxa" w:w="6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How many years the simulation covers. A 65-year-old with life expectancy 90 gets 25 years of projection. Default: age 87 (ONS UK median).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Target net income (per year)</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The amount you want to draw from your portfolio each year, after tax. This is what you need to live on.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Inflation rate</w:t>
            </w:r>
          </w:p>
        </w:tc>
        <w:tc>
          <w:tcPr>
            <w:tcW w:type="dxa" w:w="6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How much your income target grows each year. For example, 3% means you need 3% more next year (ONS CPI reference).</w:t>
            </w:r>
          </w:p>
        </w:tc>
      </w:tr>
    </w:tbl>
    <w:p>
      <w:r>
        <w:t xml:space="preserve"/>
      </w:r>
    </w:p>
    <w:p>
      <w:pPr>
        <w:pStyle w:val="Heading2"/>
      </w:pPr>
      <w:r>
        <w:t xml:space="preserve">2.2 Your Portfolio - UK Tax Wrappers</w:t>
      </w:r>
    </w:p>
    <w:p>
      <w:r>
        <w:rPr>
          <w:rFonts w:ascii="Arial" w:cs="Arial" w:eastAsia="Arial" w:hAnsi="Arial"/>
          <w:sz w:val="22"/>
          <w:szCs w:val="22"/>
        </w:rPr>
        <w:t xml:space="preserve">UK retirement planning involves several distinct tax wrappers, each with different rules:</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4426"/>
        <w:gridCol w:w="2400"/>
      </w:tblGrid>
      <w:tr>
        <w:trPr>
          <w:tblHeader/>
        </w:trP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Wrapper type</w:t>
            </w:r>
          </w:p>
        </w:tc>
        <w:tc>
          <w:tcPr>
            <w:tcW w:type="dxa" w:w="44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How it works</w:t>
            </w:r>
          </w:p>
        </w:tc>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Tax treatment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SIPP</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Self-Invested Personal Pension. Can access from age 57 (2028). Up to 25% tax-free as PCLS.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75% of each draw is taxable HMRC income.</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ISA</w:t>
            </w:r>
          </w:p>
        </w:tc>
        <w:tc>
          <w:tcPr>
            <w:tcW w:type="dxa" w:w="44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Individual Savings Account. No minimum access age.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All withdrawals 100% tax-free - no HMRC deduction.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Workplace pension</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Employer-sponsored DC scheme. Often has employer contributions.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Same tax rules as SIPP on drawdown.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State Pension</w:t>
            </w:r>
          </w:p>
        </w:tc>
        <w:tc>
          <w:tcPr>
            <w:tcW w:type="dxa" w:w="44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HMRC NI entitlement. Up to £11,502.40/yr (2024/25) at 35 NI qualifying years.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Subtracted from your target before any portfolio draw.</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Cash / Unit Trust</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General savings outside a tax wrapper.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Growth and withdrawals may be subject to Income Tax or CGT.</w:t>
            </w:r>
          </w:p>
        </w:tc>
      </w:tr>
    </w:tbl>
    <w:p>
      <w:r>
        <w:t xml:space="preserve"/>
      </w:r>
    </w:p>
    <w:p>
      <w:r>
        <w:rPr>
          <w:rFonts w:ascii="Arial" w:cs="Arial" w:eastAsia="Arial" w:hAnsi="Arial"/>
          <w:sz w:val="22"/>
          <w:szCs w:val="22"/>
        </w:rPr>
        <w:t xml:space="preserve">Each asset also has a priority order - which pot the simulation spends from first.</w:t>
      </w:r>
    </w:p>
    <w:p>
      <w:r>
        <w:t xml:space="preserve"/>
      </w:r>
    </w:p>
    <w:p>
      <w:r>
        <w:rPr>
          <w:rFonts w:ascii="Arial" w:cs="Arial" w:eastAsia="Arial" w:hAnsi="Arial"/>
          <w:sz w:val="22"/>
          <w:szCs w:val="22"/>
        </w:rPr>
        <w:t xml:space="preserve">Example: £400,000 in a SIPP (priority 1) plus £150,000 in an ISA (priority 2). The simulation draws from the SIPP first to preserve the tax-free ISA for later years.</w:t>
      </w:r>
    </w:p>
    <w:p>
      <w:r>
        <w:t xml:space="preserve"/>
      </w:r>
    </w:p>
    <w:p>
      <w:pPr>
        <w:pStyle w:val="Heading2"/>
      </w:pPr>
      <w:r>
        <w:t xml:space="preserve">2.3 Risk Profile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1400"/>
        <w:gridCol w:w="2626"/>
      </w:tblGrid>
      <w:tr>
        <w:trPr>
          <w:tblHeader/>
        </w:trP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Profile</w:t>
            </w:r>
          </w:p>
        </w:tc>
        <w:tc>
          <w:tcPr>
            <w:tcW w:type="dxa" w:w="1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Equity</w:t>
            </w:r>
          </w:p>
        </w:tc>
        <w:tc>
          <w:tcPr>
            <w:tcW w:type="dxa" w:w="1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Bonds</w:t>
            </w:r>
          </w:p>
        </w:tc>
        <w:tc>
          <w:tcPr>
            <w:tcW w:type="dxa" w:w="1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Cash</w:t>
            </w:r>
          </w:p>
        </w:tc>
        <w:tc>
          <w:tcPr>
            <w:tcW w:type="dxa" w:w="26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this means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Conservative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30%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50%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20%</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Lower risk. Slower growth. More stable but may lag inflation.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Moderate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60%</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30%</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10%</w:t>
            </w:r>
          </w:p>
        </w:tc>
        <w:tc>
          <w:tcPr>
            <w:tcW w:type="dxa" w:w="2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Balanced. Suited to most retirees who need some growth.</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Aggressive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80%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15%</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5%</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Higher risk. More growth potential. Better for long horizons.</w:t>
            </w:r>
          </w:p>
        </w:tc>
      </w:tr>
    </w:tbl>
    <w:p>
      <w:r>
        <w:t xml:space="preserve"/>
      </w:r>
    </w:p>
    <w:p>
      <w:r>
        <w:br w:type="page"/>
      </w:r>
    </w:p>
    <w:p>
      <w:pPr>
        <w:pStyle w:val="Heading1"/>
      </w:pPr>
      <w:r>
        <w:t xml:space="preserve">3. How the Simulation Runs</w:t>
      </w:r>
    </w:p>
    <w:p>
      <w:pPr>
        <w:pStyle w:val="Heading2"/>
      </w:pPr>
      <w:r>
        <w:t xml:space="preserve">3.1 Step 1 - Draw 500 Possible Futures</w:t>
      </w:r>
    </w:p>
    <w:p>
      <w:r>
        <w:rPr>
          <w:rFonts w:ascii="Arial" w:cs="Arial" w:eastAsia="Arial" w:hAnsi="Arial"/>
          <w:sz w:val="22"/>
          <w:szCs w:val="22"/>
        </w:rPr>
        <w:t xml:space="preserve">The engine does not make up returns. It reaches back into 25 years of real UK market history (2000-2024) and randomly draws year-by-year return sequences. Every future it tests is built from returns that actually happened - in a different order.</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5026"/>
      </w:tblGrid>
      <w:tr>
        <w:trPr>
          <w:tblHeader/>
        </w:trPr>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Data series</w:t>
            </w:r>
          </w:p>
        </w:tc>
        <w:tc>
          <w:tcPr>
            <w:tcW w:type="dxa" w:w="50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represents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FTSE All-Share Total Return Index</w:t>
            </w:r>
          </w:p>
        </w:tc>
        <w:tc>
          <w:tcPr>
            <w:tcW w:type="dxa" w:w="5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Shares (equity) - dividends reinvested</w:t>
            </w:r>
          </w:p>
        </w:tc>
      </w:tr>
      <w:tr>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FTSE UK Gilts All Stocks Total Return</w:t>
            </w:r>
          </w:p>
        </w:tc>
        <w:tc>
          <w:tcPr>
            <w:tcW w:type="dxa" w:w="5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Government bonds (gilts)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SONIA (Bank of England overnight rate)</w:t>
            </w:r>
          </w:p>
        </w:tc>
        <w:tc>
          <w:tcPr>
            <w:tcW w:type="dxa" w:w="5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Cash returns</w:t>
            </w:r>
          </w:p>
        </w:tc>
      </w:tr>
      <w:tr>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ONS CPI (Consumer Price Index, all items)</w:t>
            </w:r>
          </w:p>
        </w:tc>
        <w:tc>
          <w:tcPr>
            <w:tcW w:type="dxa" w:w="5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Inflation</w:t>
            </w:r>
          </w:p>
        </w:tc>
      </w:tr>
    </w:tbl>
    <w:p>
      <w:r>
        <w:t xml:space="preserve"/>
      </w:r>
    </w:p>
    <w:p>
      <w:r>
        <w:rPr>
          <w:rFonts w:ascii="Arial" w:cs="Arial" w:eastAsia="Arial" w:hAnsi="Arial"/>
          <w:sz w:val="22"/>
          <w:szCs w:val="22"/>
        </w:rPr>
        <w:t xml:space="preserve">This approach is called "historical bootstrapping". It preserves fat-tailed real market returns including crisis years like 2002, 2008, and 2020 - without assuming a parametric distribution.</w:t>
      </w:r>
    </w:p>
    <w:p>
      <w:r>
        <w:t xml:space="preserve"/>
      </w:r>
    </w:p>
    <w:p>
      <w:pPr>
        <w:pStyle w:val="Heading2"/>
      </w:pPr>
      <w:r>
        <w:t xml:space="preserve">3.2 Step 2 - Play Out Each Future Month by Month</w:t>
      </w:r>
    </w:p>
    <w:p>
      <w:r>
        <w:rPr>
          <w:rFonts w:ascii="Arial" w:cs="Arial" w:eastAsia="Arial" w:hAnsi="Arial"/>
          <w:sz w:val="22"/>
          <w:szCs w:val="22"/>
        </w:rPr>
        <w:t xml:space="preserve">Within each of the 500 futures, the simulation runs through every month of your retirement (typically 300 months for a 25-year horizon). Each month:</w:t>
      </w:r>
    </w:p>
    <w:p>
      <w:r>
        <w:t xml:space="preserve"/>
      </w:r>
    </w:p>
    <w:p>
      <w:pPr>
        <w:pStyle w:val="ListParagraph"/>
        <w:numPr>
          <w:ilvl w:val="0"/>
          <w:numId w:val="2"/>
        </w:numPr>
      </w:pPr>
      <w:r>
        <w:rPr>
          <w:rFonts w:ascii="Arial" w:cs="Arial" w:eastAsia="Arial" w:hAnsi="Arial"/>
          <w:b/>
          <w:bCs/>
          <w:sz w:val="22"/>
          <w:szCs w:val="22"/>
        </w:rPr>
        <w:t xml:space="preserve">Your income is paid first. </w:t>
      </w:r>
      <w:r>
        <w:rPr>
          <w:rFonts w:ascii="Arial" w:cs="Arial" w:eastAsia="Arial" w:hAnsi="Arial"/>
          <w:sz w:val="22"/>
          <w:szCs w:val="22"/>
        </w:rPr>
        <w:t xml:space="preserve">The simulation calculates the gross amount needed to deliver your target net income after HMRC Income Tax. It draws from your tax wrappers in priority order. State Pension income is subtracted from the annual target before any portfolio draw occurs.</w:t>
      </w:r>
    </w:p>
    <w:p>
      <w:pPr>
        <w:pStyle w:val="ListParagraph"/>
        <w:numPr>
          <w:ilvl w:val="0"/>
          <w:numId w:val="2"/>
        </w:numPr>
      </w:pPr>
      <w:r>
        <w:rPr>
          <w:rFonts w:ascii="Arial" w:cs="Arial" w:eastAsia="Arial" w:hAnsi="Arial"/>
          <w:b/>
          <w:bCs/>
          <w:sz w:val="22"/>
          <w:szCs w:val="22"/>
        </w:rPr>
        <w:t xml:space="preserve">Investment returns are applied. </w:t>
      </w:r>
      <w:r>
        <w:rPr>
          <w:rFonts w:ascii="Arial" w:cs="Arial" w:eastAsia="Arial" w:hAnsi="Arial"/>
          <w:sz w:val="22"/>
          <w:szCs w:val="22"/>
        </w:rPr>
        <w:t xml:space="preserve">After income is paid, the remaining balance earns (or loses) its monthly share of that year's return, correctly compounded.</w:t>
      </w:r>
    </w:p>
    <w:p>
      <w:pPr>
        <w:pStyle w:val="ListParagraph"/>
        <w:numPr>
          <w:ilvl w:val="0"/>
          <w:numId w:val="2"/>
        </w:numPr>
      </w:pPr>
      <w:r>
        <w:rPr>
          <w:rFonts w:ascii="Arial" w:cs="Arial" w:eastAsia="Arial" w:hAnsi="Arial"/>
          <w:sz w:val="22"/>
          <w:szCs w:val="22"/>
        </w:rPr>
        <w:t xml:space="preserve">The balance rolls forward to next month.</w:t>
      </w:r>
    </w:p>
    <w:p>
      <w:r>
        <w:t xml:space="preserve"/>
      </w:r>
    </w:p>
    <w:p>
      <w:r>
        <w:rPr>
          <w:rFonts w:ascii="Arial" w:cs="Arial" w:eastAsia="Arial" w:hAnsi="Arial"/>
          <w:sz w:val="22"/>
          <w:szCs w:val="22"/>
        </w:rPr>
        <w:t xml:space="preserve">Why pay income before returns? Because this reflects reality. This is called "sequence-of-returns risk" - one of the biggest threats to a retirement portfolio.</w:t>
      </w:r>
    </w:p>
    <w:p>
      <w:r>
        <w:t xml:space="preserve"/>
      </w:r>
    </w:p>
    <w:p>
      <w:pPr>
        <w:pStyle w:val="Heading2"/>
      </w:pPr>
      <w:r>
        <w:t xml:space="preserve">3.3 Step 3 - Succeed or Fail</w:t>
      </w:r>
    </w:p>
    <w:p>
      <w:r>
        <w:rPr>
          <w:rFonts w:ascii="Arial" w:cs="Arial" w:eastAsia="Arial" w:hAnsi="Arial"/>
          <w:sz w:val="22"/>
          <w:szCs w:val="22"/>
        </w:rPr>
        <w:t xml:space="preserve">A run fails if the portfolio value drops to zero, OR if it cannot deliver at least 80% of target net income for three consecutive years.</w:t>
      </w:r>
    </w:p>
    <w:p>
      <w:r>
        <w:t xml:space="preserve"/>
      </w:r>
    </w:p>
    <w:p>
      <w:r>
        <w:rPr>
          <w:rFonts w:ascii="Arial" w:cs="Arial" w:eastAsia="Arial" w:hAnsi="Arial"/>
          <w:sz w:val="22"/>
          <w:szCs w:val="22"/>
        </w:rPr>
        <w:t xml:space="preserve">Example: If your target is £2,000/month net and your portfolio can only pay £1,500/month (75% of target) for three years in a row, that run is marked as failed - even if money remains.</w:t>
      </w:r>
    </w:p>
    <w:p>
      <w:r>
        <w:t xml:space="preserve"/>
      </w:r>
    </w:p>
    <w:p>
      <w:r>
        <w:br w:type="page"/>
      </w:r>
    </w:p>
    <w:p>
      <w:pPr>
        <w:pStyle w:val="Heading1"/>
      </w:pPr>
      <w:r>
        <w:t xml:space="preserve">4. How Tax Is Handled</w:t>
      </w:r>
    </w:p>
    <w:p>
      <w:r>
        <w:rPr>
          <w:rFonts w:ascii="Arial" w:cs="Arial" w:eastAsia="Arial" w:hAnsi="Arial"/>
          <w:sz w:val="22"/>
          <w:szCs w:val="22"/>
        </w:rPr>
        <w:t xml:space="preserve">Retirement income from pensions is taxable. The simulation accounts for HMRC Income Tax inside every run, for every year.</w:t>
      </w:r>
    </w:p>
    <w:p>
      <w:r>
        <w:t xml:space="preserve"/>
      </w:r>
    </w:p>
    <w:p>
      <w:pPr>
        <w:pStyle w:val="Heading2"/>
      </w:pPr>
      <w:r>
        <w:t xml:space="preserve">4.1 HMRC Gross-Up</w:t>
      </w:r>
    </w:p>
    <w:p>
      <w:r>
        <w:rPr>
          <w:rFonts w:ascii="Arial" w:cs="Arial" w:eastAsia="Arial" w:hAnsi="Arial"/>
          <w:sz w:val="22"/>
          <w:szCs w:val="22"/>
        </w:rPr>
        <w:t xml:space="preserve">You want £2,000 a month after tax. But HMRC taxes the gross withdrawal from your SIPP. The simulation must calculate: "How much must I withdraw so that after Income Tax, exactly £2,000 lands in your pocket?" This is solved by fixed-point iteration, converging in 4 passes or fewer.</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4226"/>
        <w:gridCol w:w="4000"/>
      </w:tblGrid>
      <w:tr>
        <w:trPr>
          <w:tblHeader/>
        </w:trPr>
        <w:tc>
          <w:tcPr>
            <w:tcW w:type="dxa" w:w="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42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1</w:t>
            </w:r>
          </w:p>
        </w:tc>
        <w:tc>
          <w:tcPr>
            <w:tcW w:type="dxa" w:w="4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Start with your target net income for the year.</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e.g. £24,000 net per year</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2</w:t>
            </w:r>
          </w:p>
        </w:tc>
        <w:tc>
          <w:tcPr>
            <w:tcW w:type="dxa" w:w="4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Subtract State Pension income (if applicable).</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e.g. £11,502 State Pension -&gt; only £12,498 needed from portfolio</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3</w:t>
            </w:r>
          </w:p>
        </w:tc>
        <w:tc>
          <w:tcPr>
            <w:tcW w:type="dxa" w:w="4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For SIPPs: only 75% of the draw is taxable.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25% PCLS (pension commencement lump sum) is tax-free.</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4</w:t>
            </w:r>
          </w:p>
        </w:tc>
        <w:tc>
          <w:tcPr>
            <w:tcW w:type="dxa" w:w="4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Apply HMRC brackets to find gross needed.</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See bracket table below.</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5</w:t>
            </w:r>
          </w:p>
        </w:tc>
        <w:tc>
          <w:tcPr>
            <w:tcW w:type="dxa" w:w="4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ISA withdrawals: no HMRC deduction.</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ISA taxable fraction = 0%. Full amount tax-free.</w:t>
            </w:r>
          </w:p>
        </w:tc>
      </w:tr>
    </w:tbl>
    <w:p>
      <w:r>
        <w:t xml:space="preserve"/>
      </w:r>
    </w:p>
    <w:p>
      <w:pPr>
        <w:pStyle w:val="Heading2"/>
      </w:pPr>
      <w:r>
        <w:t xml:space="preserve">4.2 HMRC 2024/25 Income Tax Brackets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2000"/>
        <w:gridCol w:w="3426"/>
      </w:tblGrid>
      <w:tr>
        <w:trPr>
          <w:tblHeader/>
        </w:trPr>
        <w:tc>
          <w:tcPr>
            <w:tcW w:type="dxa" w:w="3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Band</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Rate</w:t>
            </w:r>
          </w:p>
        </w:tc>
        <w:tc>
          <w:tcPr>
            <w:tcW w:type="dxa" w:w="34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Personal Allowance - up to £12,570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0%</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 tax payable</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Basic Rate - £12,571 to £50,270</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20%</w:t>
            </w:r>
          </w:p>
        </w:tc>
        <w:tc>
          <w:tcPr>
            <w:tcW w:type="dxa" w:w="34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Most pension income falls here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Higher Rate - £50,271 to £100,000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40%</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PA Taper - £100,001 to £125,140</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60% effective</w:t>
            </w:r>
          </w:p>
        </w:tc>
        <w:tc>
          <w:tcPr>
            <w:tcW w:type="dxa" w:w="34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Personal Allowance withdrawn at £2 per £3 above £100k</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Additional Rate - above £125,140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45%</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 Personal Allowance applies</w:t>
            </w:r>
          </w:p>
        </w:tc>
      </w:tr>
    </w:tbl>
    <w:p>
      <w:r>
        <w:t xml:space="preserve"/>
      </w:r>
    </w:p>
    <w:p>
      <w:pPr>
        <w:pStyle w:val="Heading2"/>
      </w:pPr>
      <w:r>
        <w:t xml:space="preserve">4.3 What Is Shown on Your Report</w:t>
      </w:r>
    </w:p>
    <w:p>
      <w:pPr>
        <w:pStyle w:val="ListParagraph"/>
        <w:numPr>
          <w:ilvl w:val="0"/>
          <w:numId w:val="2"/>
        </w:numPr>
      </w:pPr>
      <w:r>
        <w:rPr>
          <w:rFonts w:ascii="Arial" w:cs="Arial" w:eastAsia="Arial" w:hAnsi="Arial"/>
          <w:sz w:val="22"/>
          <w:szCs w:val="22"/>
        </w:rPr>
        <w:t xml:space="preserve">Gross withdrawal - the total amount drawn from your portfolio (before HMRC deduction)</w:t>
      </w:r>
    </w:p>
    <w:p>
      <w:pPr>
        <w:pStyle w:val="ListParagraph"/>
        <w:numPr>
          <w:ilvl w:val="0"/>
          <w:numId w:val="2"/>
        </w:numPr>
      </w:pPr>
      <w:r>
        <w:rPr>
          <w:rFonts w:ascii="Arial" w:cs="Arial" w:eastAsia="Arial" w:hAnsi="Arial"/>
          <w:sz w:val="22"/>
          <w:szCs w:val="22"/>
        </w:rPr>
        <w:t xml:space="preserve">HMRC Income Tax - the estimated tax portion</w:t>
      </w:r>
    </w:p>
    <w:p>
      <w:pPr>
        <w:pStyle w:val="ListParagraph"/>
        <w:numPr>
          <w:ilvl w:val="0"/>
          <w:numId w:val="2"/>
        </w:numPr>
      </w:pPr>
      <w:r>
        <w:rPr>
          <w:rFonts w:ascii="Arial" w:cs="Arial" w:eastAsia="Arial" w:hAnsi="Arial"/>
          <w:sz w:val="22"/>
          <w:szCs w:val="22"/>
        </w:rPr>
        <w:t xml:space="preserve">Net income - what lands in your pocket (your target)</w:t>
      </w:r>
    </w:p>
    <w:p>
      <w:pPr>
        <w:pStyle w:val="ListParagraph"/>
        <w:numPr>
          <w:ilvl w:val="0"/>
          <w:numId w:val="2"/>
        </w:numPr>
      </w:pPr>
      <w:r>
        <w:rPr>
          <w:rFonts w:ascii="Arial" w:cs="Arial" w:eastAsia="Arial" w:hAnsi="Arial"/>
          <w:sz w:val="22"/>
          <w:szCs w:val="22"/>
        </w:rPr>
        <w:t xml:space="preserve">State Pension income - subtracted from the annual target before any portfolio draw</w:t>
      </w:r>
    </w:p>
    <w:p>
      <w:r>
        <w:t xml:space="preserve"/>
      </w:r>
    </w:p>
    <w:p>
      <w:r>
        <w:br w:type="page"/>
      </w:r>
    </w:p>
    <w:p>
      <w:pPr>
        <w:pStyle w:val="Heading1"/>
      </w:pPr>
      <w:r>
        <w:t xml:space="preserve">5. What the Results Mean</w:t>
      </w:r>
    </w:p>
    <w:p>
      <w:pPr>
        <w:pStyle w:val="Heading2"/>
      </w:pPr>
      <w:r>
        <w:t xml:space="preserve">5.1 Success Rate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Success Rate</w:t>
            </w:r>
          </w:p>
        </w:tc>
        <w:tc>
          <w:tcPr>
            <w:tcW w:type="dxa" w:w="66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95% or above</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Your plan is very robust. It held up in 475 of 500 tested futures.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85% - 94%</w:t>
            </w:r>
          </w:p>
        </w:tc>
        <w:tc>
          <w:tcPr>
            <w:tcW w:type="dxa" w:w="6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Your plan is solid, but some market scenarios cause it to fall short. Small adjustments may help.</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70% - 84%</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Your plan carries meaningful risk. Your adviser may recommend changes.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Below 70%</w:t>
            </w:r>
          </w:p>
        </w:tc>
        <w:tc>
          <w:tcPr>
            <w:tcW w:type="dxa" w:w="6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Your plan is under significant stress. A strategy review is recommended.</w:t>
            </w:r>
          </w:p>
        </w:tc>
      </w:tr>
    </w:tbl>
    <w:p>
      <w:r>
        <w:t xml:space="preserve"/>
      </w:r>
    </w:p>
    <w:p>
      <w:pPr>
        <w:pStyle w:val="Heading2"/>
      </w:pPr>
      <w:r>
        <w:t xml:space="preserve">5.2 Confidence Bands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Band</w:t>
            </w:r>
          </w:p>
        </w:tc>
        <w:tc>
          <w:tcPr>
            <w:tcW w:type="dxa" w:w="66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shows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P90 (90th percentile)</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In 10% of futures your portfolio grew to at least this level. The best realistic outcome.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P75 (75th percentile)</w:t>
            </w:r>
          </w:p>
        </w:tc>
        <w:tc>
          <w:tcPr>
            <w:tcW w:type="dxa" w:w="6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In 25% of futures your portfolio grew to at least this level.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P50 (median)</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Half of futures ended above this level, half below. The middle-of-the-road outcome.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P25 (25th percentile)</w:t>
            </w:r>
          </w:p>
        </w:tc>
        <w:tc>
          <w:tcPr>
            <w:tcW w:type="dxa" w:w="6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In 75% of futures your portfolio was at least this large. A conservative planning level.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P10 (10th percentile)</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In 90% of futures your portfolio ended above this level. Represents stress scenarios.</w:t>
            </w:r>
          </w:p>
        </w:tc>
      </w:tr>
    </w:tbl>
    <w:p>
      <w:r>
        <w:t xml:space="preserve"/>
      </w:r>
    </w:p>
    <w:p>
      <w:pPr>
        <w:pStyle w:val="Heading2"/>
      </w:pPr>
      <w:r>
        <w:t xml:space="preserve">5.3 The Chart</w:t>
      </w:r>
    </w:p>
    <w:p>
      <w:pPr>
        <w:pStyle w:val="ListParagraph"/>
        <w:numPr>
          <w:ilvl w:val="0"/>
          <w:numId w:val="2"/>
        </w:numPr>
      </w:pPr>
      <w:r>
        <w:rPr>
          <w:rFonts w:ascii="Arial" w:cs="Arial" w:eastAsia="Arial" w:hAnsi="Arial"/>
          <w:sz w:val="22"/>
          <w:szCs w:val="22"/>
        </w:rPr>
        <w:t xml:space="preserve">Best path (green) - the P90 run. Markets cooperated; portfolio grew throughout.</w:t>
      </w:r>
    </w:p>
    <w:p>
      <w:pPr>
        <w:pStyle w:val="ListParagraph"/>
        <w:numPr>
          <w:ilvl w:val="0"/>
          <w:numId w:val="2"/>
        </w:numPr>
      </w:pPr>
      <w:r>
        <w:rPr>
          <w:rFonts w:ascii="Arial" w:cs="Arial" w:eastAsia="Arial" w:hAnsi="Arial"/>
          <w:sz w:val="22"/>
          <w:szCs w:val="22"/>
        </w:rPr>
        <w:t xml:space="preserve">Median path (blue) - the P50 run. A typical, middle-of-the-road outcome.</w:t>
      </w:r>
    </w:p>
    <w:p>
      <w:pPr>
        <w:pStyle w:val="ListParagraph"/>
        <w:numPr>
          <w:ilvl w:val="0"/>
          <w:numId w:val="2"/>
        </w:numPr>
      </w:pPr>
      <w:r>
        <w:rPr>
          <w:rFonts w:ascii="Arial" w:cs="Arial" w:eastAsia="Arial" w:hAnsi="Arial"/>
          <w:sz w:val="22"/>
          <w:szCs w:val="22"/>
        </w:rPr>
        <w:t xml:space="preserve">Worst path (red) - the P10 run. Markets were unfavourable early; portfolio depleted faster.</w:t>
      </w:r>
    </w:p>
    <w:p>
      <w:r>
        <w:t xml:space="preserve"/>
      </w:r>
    </w:p>
    <w:p>
      <w:pPr>
        <w:pStyle w:val="Heading1"/>
      </w:pPr>
      <w:r>
        <w:t xml:space="preserve">6. Limitations and Assumptions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rPr>
          <w:tblHeader/>
        </w:trPr>
        <w:tc>
          <w:tcPr>
            <w:tcW w:type="dxa" w:w="3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Assumption</w:t>
            </w:r>
          </w:p>
        </w:tc>
        <w:tc>
          <w:tcPr>
            <w:tcW w:type="dxa" w:w="58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Limitation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25 years of UK market history (2000-2024)</w:t>
            </w:r>
          </w:p>
        </w:tc>
        <w:tc>
          <w:tcPr>
            <w:tcW w:type="dxa" w:w="5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Future markets may behave differently, particularly following structural economic shifts not present in the data.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Static HMRC tax brackets</w:t>
            </w:r>
          </w:p>
        </w:tc>
        <w:tc>
          <w:tcPr>
            <w:tcW w:type="dxa" w:w="5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HMRC adjusts thresholds each Spring Budget. Tax in year 15 of your retirement may differ from today's rates.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SIPP minimum access age 57</w:t>
            </w:r>
          </w:p>
        </w:tc>
        <w:tc>
          <w:tcPr>
            <w:tcW w:type="dxa" w:w="5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Any future legislative change would affect projections.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State Pension assumes 35 NI qualifying years</w:t>
            </w:r>
          </w:p>
        </w:tc>
        <w:tc>
          <w:tcPr>
            <w:tcW w:type="dxa" w:w="5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Fewer qualifying years means lower State Pension income. Your adviser should adjust this input.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Constant drawdown strategy</w:t>
            </w:r>
          </w:p>
        </w:tc>
        <w:tc>
          <w:tcPr>
            <w:tcW w:type="dxa" w:w="5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The model does not simulate dynamic spending cuts. Real retirees often flex spending in poor markets.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Lump Sum Allowance (£268,275)</w:t>
            </w:r>
          </w:p>
        </w:tc>
        <w:tc>
          <w:tcPr>
            <w:tcW w:type="dxa" w:w="5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color w:val="000000"/>
                <w:sz w:val="20"/>
                <w:szCs w:val="20"/>
              </w:rPr>
              <w:t xml:space="preserve">The tax-free cash limit across all pension wrappers is not currently enforced - your adviser should check this separately.</w:t>
            </w:r>
          </w:p>
        </w:tc>
      </w:tr>
    </w:tbl>
    <w:p>
      <w:r>
        <w:t xml:space="preserve"/>
      </w:r>
    </w:p>
    <w:p>
      <w:pPr>
        <w:pStyle w:val="Heading1"/>
      </w:pPr>
      <w:r>
        <w:t xml:space="preserve">7. Regulatory Disclosure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4"/>
              <w:left w:val="single" w:color="C00000" w:sz="12"/>
              <w:bottom w:val="single" w:color="C00000" w:sz="4"/>
              <w:right w:val="single" w:color="CCCCCC" w:sz="1"/>
            </w:tcBorders>
            <w:shd w:fill="FFF2F2" w:val="clear"/>
            <w:tcMar>
              <w:top w:type="dxa" w:w="120"/>
              <w:left w:type="dxa" w:w="180"/>
              <w:bottom w:type="dxa" w:w="120"/>
              <w:right w:type="dxa" w:w="120"/>
            </w:tcMar>
          </w:tcPr>
          <w:p>
            <w:pPr>
              <w:spacing w:after="80"/>
            </w:pPr>
            <w:r>
              <w:rPr>
                <w:rFonts w:ascii="Arial" w:cs="Arial" w:eastAsia="Arial" w:hAnsi="Arial"/>
                <w:b/>
                <w:bCs/>
                <w:color w:val="C00000"/>
                <w:sz w:val="20"/>
                <w:szCs w:val="20"/>
              </w:rPr>
              <w:t xml:space="preserve">FCA COBS Disclosure</w:t>
            </w:r>
          </w:p>
          <w:p>
            <w:pPr>
              <w:spacing w:after="80"/>
            </w:pPr>
            <w:r>
              <w:rPr>
                <w:rFonts w:ascii="Arial" w:cs="Arial" w:eastAsia="Arial" w:hAnsi="Arial"/>
                <w:sz w:val="20"/>
                <w:szCs w:val="20"/>
              </w:rPr>
              <w:t xml:space="preserve">This report is produced by CostusWorx and is intended solely for the use of the FCA-authorised adviser and their client. CostusWorx is a decision-support tool, not a regulated financial adviser.</w:t>
            </w:r>
          </w:p>
          <w:p>
            <w:pPr>
              <w:spacing w:after="80"/>
            </w:pPr>
            <w:r>
              <w:rPr>
                <w:rFonts w:ascii="Arial" w:cs="Arial" w:eastAsia="Arial" w:hAnsi="Arial"/>
                <w:sz w:val="20"/>
                <w:szCs w:val="20"/>
              </w:rPr>
              <w:t xml:space="preserve">The Monte Carlo projections shown are not a guarantee of future performance. Past market returns do not predict future results. Simulated outcomes are based on historical UK market data (2000-2024). Actual investment returns will differ.</w:t>
            </w:r>
          </w:p>
          <w:p>
            <w:r>
              <w:rPr>
                <w:rFonts w:ascii="Arial" w:cs="Arial" w:eastAsia="Arial" w:hAnsi="Arial"/>
                <w:sz w:val="20"/>
                <w:szCs w:val="20"/>
              </w:rPr>
              <w:t xml:space="preserve">All advice and suitability recommendations remain the responsibility of the FCA-authorised adviser under FCA COBS 9A. The adviser is responsible for ensuring this output meets their suitability obligations before sharing with clients.</w:t>
            </w:r>
          </w:p>
        </w:tc>
      </w:tr>
    </w:tbl>
    <w:p>
      <w:r>
        <w:t xml:space="preserve"/>
      </w:r>
    </w:p>
    <w:p>
      <w:pPr>
        <w:jc w:val="center"/>
      </w:pPr>
      <w:r>
        <w:rPr>
          <w:rFonts w:ascii="Arial" w:cs="Arial" w:eastAsia="Arial" w:hAnsi="Arial"/>
          <w:color w:val="777777"/>
          <w:sz w:val="18"/>
          <w:szCs w:val="18"/>
        </w:rPr>
        <w:t xml:space="preserve">retireuk.costusworx.co.za  ·  Version 1.0  ·  May 2026</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8748"/>
      </w:tabs>
    </w:pPr>
    <w:r>
      <w:rPr>
        <w:rFonts w:ascii="Arial" w:cs="Arial" w:eastAsia="Arial" w:hAnsi="Arial"/>
        <w:color w:val="666666"/>
        <w:sz w:val="18"/>
        <w:szCs w:val="18"/>
      </w:rPr>
      <w:t xml:space="preserve">retireuk.costusworx.co.za  ·  Version 1.0  ·  May 2026</w:t>
    </w:r>
    <w:r>
      <w:rPr>
        <w:rFonts w:ascii="Arial" w:cs="Arial" w:eastAsia="Arial" w:hAnsi="Arial"/>
        <w:color w:val="666666"/>
        <w:sz w:val="18"/>
        <w:szCs w:val="18"/>
      </w:rPr>
      <w:t xml:space="preserve">	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8748"/>
      </w:tabs>
    </w:pPr>
    <w:r>
      <w:rPr>
        <w:rFonts w:ascii="Arial" w:cs="Arial" w:eastAsia="Arial" w:hAnsi="Arial"/>
        <w:color w:val="666666"/>
        <w:sz w:val="18"/>
        <w:szCs w:val="18"/>
      </w:rPr>
      <w:t xml:space="preserve">CostusWorx UK  ·  How the Simulation Works</w:t>
    </w:r>
    <w:r>
      <w:rPr>
        <w:rFonts w:ascii="Arial" w:cs="Arial" w:eastAsia="Arial" w:hAnsi="Arial"/>
        <w:sz w:val="22"/>
        <w:szCs w:val="22"/>
      </w:rPr>
      <w:t xml:space="preserve">	</w:t>
    </w:r>
    <w:r>
      <w:rPr>
        <w:rFonts w:ascii="Arial" w:cs="Arial" w:eastAsia="Arial" w:hAnsi="Arial"/>
        <w:color w:val="999999"/>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2026-05-27T04:39:38.710Z</dcterms:created>
  <dcterms:modified xsi:type="dcterms:W3CDTF">2026-05-27T04:39:38.711Z</dcterms:modified>
</cp:coreProperties>
</file>

<file path=docProps/custom.xml><?xml version="1.0" encoding="utf-8"?>
<Properties xmlns="http://schemas.openxmlformats.org/officeDocument/2006/custom-properties" xmlns:vt="http://schemas.openxmlformats.org/officeDocument/2006/docPropsVTypes"/>
</file>